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A7" w:rsidRPr="000856A7" w:rsidRDefault="000856A7" w:rsidP="000856A7">
      <w:pPr>
        <w:spacing w:before="735" w:after="450" w:line="240" w:lineRule="auto"/>
        <w:ind w:left="300"/>
        <w:textAlignment w:val="baseline"/>
        <w:outlineLvl w:val="0"/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</w:pPr>
      <w:r w:rsidRPr="000856A7"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  <w:t>Мошенничество в сети «Интернет»</w:t>
      </w:r>
    </w:p>
    <w:p w:rsidR="000856A7" w:rsidRPr="000856A7" w:rsidRDefault="000856A7" w:rsidP="000856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В настоящее время в связи с изменившимися условиями финансового рынка мошенничество в финансовой сфере зачастую связано с использованием новых механизмов и инструментов (</w:t>
      </w:r>
      <w:proofErr w:type="spellStart"/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call</w:t>
      </w:r>
      <w:proofErr w:type="spellEnd"/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-центры, </w:t>
      </w:r>
      <w:proofErr w:type="spellStart"/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дроп</w:t>
      </w:r>
      <w:proofErr w:type="spellEnd"/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-сервисы).</w:t>
      </w:r>
    </w:p>
    <w:p w:rsidR="000856A7" w:rsidRPr="000856A7" w:rsidRDefault="000856A7" w:rsidP="000856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Мошенническая схема представляет собой выстроенную иерархию в виде пирамиды, на вершине которой находится организатор.</w:t>
      </w:r>
    </w:p>
    <w:p w:rsidR="000856A7" w:rsidRPr="000856A7" w:rsidRDefault="000856A7" w:rsidP="000856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Есть так называемые «заказчики», то есть лица, имеющие большие суммы денежных средств, полученных преступным путем.</w:t>
      </w:r>
    </w:p>
    <w:p w:rsidR="000856A7" w:rsidRPr="000856A7" w:rsidRDefault="000856A7" w:rsidP="000856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«Заказчики» подбирают «</w:t>
      </w:r>
      <w:proofErr w:type="spellStart"/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дроповодов</w:t>
      </w:r>
      <w:proofErr w:type="spellEnd"/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», которые, в свою очередь, общаются с конкретными исполнителями задачи — «</w:t>
      </w:r>
      <w:proofErr w:type="spellStart"/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дропами</w:t>
      </w:r>
      <w:proofErr w:type="spellEnd"/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».</w:t>
      </w:r>
    </w:p>
    <w:p w:rsidR="000856A7" w:rsidRPr="000856A7" w:rsidRDefault="000856A7" w:rsidP="000856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«</w:t>
      </w:r>
      <w:proofErr w:type="spellStart"/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Дропы</w:t>
      </w:r>
      <w:proofErr w:type="spellEnd"/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» — это подставные лица, задействованные в нелегальных схемах по выводу средств с банковских карт.</w:t>
      </w:r>
    </w:p>
    <w:p w:rsidR="000856A7" w:rsidRPr="000856A7" w:rsidRDefault="000856A7" w:rsidP="000856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Такие лица привлекаются с целью избежать ответственности за перевод или </w:t>
      </w:r>
      <w:proofErr w:type="spellStart"/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обналичивание</w:t>
      </w:r>
      <w:proofErr w:type="spellEnd"/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денежных средств со счетов и банковских карт.</w:t>
      </w:r>
    </w:p>
    <w:p w:rsidR="000856A7" w:rsidRPr="000856A7" w:rsidRDefault="000856A7" w:rsidP="000856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К «</w:t>
      </w:r>
      <w:proofErr w:type="spellStart"/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дропам</w:t>
      </w:r>
      <w:proofErr w:type="spellEnd"/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» относятся не только лица, осведомленные о противоправном характере своей деятельности, но и те, кто не понимает, что участвует в криминальной схеме.</w:t>
      </w:r>
    </w:p>
    <w:p w:rsidR="000856A7" w:rsidRPr="000856A7" w:rsidRDefault="000856A7" w:rsidP="000856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Такие лица могут как непосредственно принимать участие в цепочке переводов или же продать (отдать) свою банковскую карточку «</w:t>
      </w:r>
      <w:proofErr w:type="spellStart"/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дроповоду</w:t>
      </w:r>
      <w:proofErr w:type="spellEnd"/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» вместе с реквизитами счета и </w:t>
      </w:r>
      <w:proofErr w:type="spellStart"/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пин</w:t>
      </w:r>
      <w:proofErr w:type="spellEnd"/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-кодом.</w:t>
      </w:r>
    </w:p>
    <w:p w:rsidR="000856A7" w:rsidRPr="000856A7" w:rsidRDefault="000856A7" w:rsidP="000856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При этом сами «</w:t>
      </w:r>
      <w:proofErr w:type="spellStart"/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дропы</w:t>
      </w:r>
      <w:proofErr w:type="spellEnd"/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» становятся соучастниками преступления, даже если до конца не понимают последствия своих действий. Чаще всего в «группу риска» попадают подростки, студенты, которые ищут быстрый заработок, и доверчивые пенсионеры.</w:t>
      </w:r>
    </w:p>
    <w:p w:rsidR="000856A7" w:rsidRPr="000856A7" w:rsidRDefault="000856A7" w:rsidP="000856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Способами привлечения подставных лиц могут быть как личные знакомства, так и обычные объявления с предложением интересной работы с предложением быстрого роста заработка.</w:t>
      </w:r>
    </w:p>
    <w:p w:rsidR="000856A7" w:rsidRPr="000856A7" w:rsidRDefault="000856A7" w:rsidP="000856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Объявления размещаются как правило в сети Интернет, на сайтах кадровых агентств, форумах, в социальных сетях и в телеграмм-каналах.</w:t>
      </w:r>
    </w:p>
    <w:p w:rsidR="000856A7" w:rsidRPr="000856A7" w:rsidRDefault="000856A7" w:rsidP="000856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Вместе с тем, за участие в преступных схемах в качестве «</w:t>
      </w:r>
      <w:proofErr w:type="spellStart"/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дропа</w:t>
      </w:r>
      <w:proofErr w:type="spellEnd"/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» следуют неблагоприятные последствия, поэтому если Вы случайно стали участником нелегальной схемы, следует заявить об этом в правоохранительные органы.</w:t>
      </w:r>
    </w:p>
    <w:p w:rsidR="000856A7" w:rsidRPr="000856A7" w:rsidRDefault="000856A7" w:rsidP="000856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Так. банками непрерывно проверяются операции в целях выявления клиентов с признаками «</w:t>
      </w:r>
      <w:proofErr w:type="spellStart"/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дропа</w:t>
      </w:r>
      <w:proofErr w:type="spellEnd"/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», указанные клиенты ставятся на дополнительный учет, вводятся ограничения на получение новых карт, иных электронных средств платежа и на проведение финансовых операций по выпущенным картам.</w:t>
      </w:r>
    </w:p>
    <w:p w:rsidR="000856A7" w:rsidRPr="000856A7" w:rsidRDefault="000856A7" w:rsidP="000856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lastRenderedPageBreak/>
        <w:t xml:space="preserve">При выявлении банками состава и участников </w:t>
      </w:r>
      <w:proofErr w:type="spellStart"/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дроп</w:t>
      </w:r>
      <w:proofErr w:type="spellEnd"/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-схемы по </w:t>
      </w:r>
      <w:proofErr w:type="spellStart"/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обналичиванию</w:t>
      </w:r>
      <w:proofErr w:type="spellEnd"/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денежных средств информация о таких клиентах и операциях направляется в правоохранительные органы.</w:t>
      </w:r>
    </w:p>
    <w:p w:rsidR="000856A7" w:rsidRPr="000856A7" w:rsidRDefault="000856A7" w:rsidP="000856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Участие в преступных схемах в качестве «</w:t>
      </w:r>
      <w:proofErr w:type="spellStart"/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дропа</w:t>
      </w:r>
      <w:proofErr w:type="spellEnd"/>
      <w:r w:rsidRPr="000856A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» влечет уголовную ответственность, в том числе по статьям 187 (неправомерный оборот средств платежей), 159 (мошенничество) Уголовного кодекса Российской Федерации. Помимо этого, за указанные действия в соответствии с гражданским законодательством граждане несут финансовую ответственность.</w:t>
      </w:r>
    </w:p>
    <w:p w:rsidR="005B5B8C" w:rsidRDefault="005B5B8C"/>
    <w:p w:rsidR="000856A7" w:rsidRPr="00AE6DD1" w:rsidRDefault="000856A7" w:rsidP="000856A7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Заместитель прокурора </w:t>
      </w:r>
    </w:p>
    <w:p w:rsidR="000856A7" w:rsidRPr="00AE6DD1" w:rsidRDefault="000856A7" w:rsidP="000856A7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Муслюмовского района                                                                      Л.К. Аскаров </w:t>
      </w:r>
    </w:p>
    <w:p w:rsidR="000856A7" w:rsidRPr="00AE6DD1" w:rsidRDefault="000856A7" w:rsidP="000856A7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19</w:t>
      </w: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</w:t>
      </w: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4</w:t>
      </w:r>
    </w:p>
    <w:p w:rsidR="000856A7" w:rsidRDefault="000856A7">
      <w:bookmarkStart w:id="0" w:name="_GoBack"/>
      <w:bookmarkEnd w:id="0"/>
    </w:p>
    <w:sectPr w:rsidR="000856A7" w:rsidSect="000856A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A7"/>
    <w:rsid w:val="000856A7"/>
    <w:rsid w:val="005B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C3AE"/>
  <w15:chartTrackingRefBased/>
  <w15:docId w15:val="{EA5B0E99-CD70-4A9F-B742-7AC05277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4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7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2024-01-21T12:34:00Z</dcterms:created>
  <dcterms:modified xsi:type="dcterms:W3CDTF">2024-01-21T12:36:00Z</dcterms:modified>
</cp:coreProperties>
</file>